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b/>
          <w:bCs/>
          <w:color w:val="1B3A5C"/>
          <w:sz w:val="22"/>
          <w:szCs w:val="22"/>
        </w:rPr>
        <w:t xml:space="preserve">CLC · THE HIVE · Job Readiness Bootcamp</w:t>
      </w:r>
    </w:p>
    <w:p>
      <w:pPr>
        <w:pBdr>
          <w:bottom w:val="single" w:color="1B3A5C" w:sz="6" w:space="8"/>
        </w:pBdr>
        <w:spacing w:after="200"/>
        <w:jc w:val="center"/>
      </w:pPr>
      <w:r>
        <w:rPr>
          <w:b/>
          <w:bCs/>
          <w:color w:val="555555"/>
          <w:sz w:val="19"/>
          <w:szCs w:val="19"/>
        </w:rPr>
        <w:t xml:space="preserve">Day 2 — What You'll Be Doing</w:t>
      </w:r>
    </w:p>
    <w:tbl>
      <w:tblPr>
        <w:tblW w:type="dxa" w:w="10080"/>
        <w:tblBorders>
          <w:top w:val="none" w:sz="0"/>
          <w:left w:val="none" w:sz="0"/>
          <w:bottom w:val="none" w:sz="0"/>
          <w:right w:val="none" w:sz="0"/>
          <w:insideH w:val="none" w:sz="0"/>
          <w:insideV w:val="none" w:sz="0"/>
        </w:tblBorders>
      </w:tblPr>
      <w:tblGrid>
        <w:gridCol w:w="10080"/>
      </w:tblGrid>
      <w:tr>
        <w:tc>
          <w:tcPr>
            <w:tcW w:type="dxa" w:w="10080"/>
            <w:tcBorders>
              <w:top w:val="single" w:color="FFFFFF" w:sz="6"/>
              <w:left w:val="single" w:color="E67E22" w:sz="24"/>
              <w:bottom w:val="single" w:color="FFFFFF" w:sz="6"/>
              <w:right w:val="single" w:color="DDDDDD" w:sz="2"/>
            </w:tcBorders>
            <w:shd w:fill="FCE4D6" w:val="clear"/>
            <w:tcMar>
              <w:top w:type="dxa" w:w="70"/>
              <w:left w:type="dxa" w:w="200"/>
              <w:bottom w:type="dxa" w:w="70"/>
              <w:right w:type="dxa" w:w="200"/>
            </w:tcMar>
            <w:vAlign w:val="center"/>
          </w:tcPr>
          <w:p>
            <w:pPr>
              <w:tabs>
                <w:tab w:val="right" w:pos="9600"/>
              </w:tabs>
              <w:spacing w:after="30"/>
            </w:pPr>
            <w:r>
              <w:rPr>
                <w:b/>
                <w:bCs/>
                <w:color w:val="1A1A1A"/>
                <w:sz w:val="20"/>
                <w:szCs w:val="20"/>
              </w:rPr>
              <w:t xml:space="preserve">Welcome &amp; Kickoff</w:t>
            </w:r>
            <w:r>
              <w:rPr>
                <w:i/>
                <w:iCs/>
                <w:color w:val="E67E22"/>
                <w:sz w:val="15"/>
                <w:szCs w:val="15"/>
              </w:rPr>
              <w:t xml:space="preserve">	🗣 Discussion</w:t>
            </w:r>
          </w:p>
          <w:p>
            <w:r>
              <w:rPr>
                <w:color w:val="3A3A3A"/>
                <w:sz w:val="18"/>
                <w:szCs w:val="18"/>
              </w:rPr>
              <w:t xml:space="preserve">Quick intro to Day 2 and how it'll flow. Share a funny old email handle or digital mishap — we'll start the day with the room laughing.</w:t>
            </w:r>
          </w:p>
        </w:tc>
      </w:tr>
      <w:tr>
        <w:trPr>
          <w:trHeight w:val="30" w:hRule="atLeast"/>
        </w:trPr>
        <w:tc>
          <w:tcPr>
            <w:tcW w:type="dxa" w:w="10080"/>
            <w:tcBorders>
              <w:top w:val="none" w:sz="0"/>
              <w:left w:val="none" w:sz="0"/>
              <w:bottom w:val="none" w:sz="0"/>
              <w:right w:val="none" w:sz="0"/>
            </w:tcBorders>
          </w:tcPr>
          <w:p>
            <w:r>
              <w:rPr>
                <w:sz w:val="4"/>
                <w:szCs w:val="4"/>
              </w:rPr>
              <w:t xml:space="preserve"/>
            </w:r>
          </w:p>
        </w:tc>
      </w:tr>
      <w:tr>
        <w:tc>
          <w:tcPr>
            <w:tcW w:type="dxa" w:w="10080"/>
            <w:tcBorders>
              <w:top w:val="single" w:color="FFFFFF" w:sz="6"/>
              <w:left w:val="single" w:color="1976D2" w:sz="24"/>
              <w:bottom w:val="single" w:color="FFFFFF" w:sz="6"/>
              <w:right w:val="single" w:color="DDDDDD" w:sz="2"/>
            </w:tcBorders>
            <w:shd w:fill="DBEAFE" w:val="clear"/>
            <w:tcMar>
              <w:top w:type="dxa" w:w="70"/>
              <w:left w:type="dxa" w:w="200"/>
              <w:bottom w:type="dxa" w:w="70"/>
              <w:right w:type="dxa" w:w="200"/>
            </w:tcMar>
            <w:vAlign w:val="center"/>
          </w:tcPr>
          <w:p>
            <w:pPr>
              <w:tabs>
                <w:tab w:val="right" w:pos="9600"/>
              </w:tabs>
              <w:spacing w:after="30"/>
            </w:pPr>
            <w:r>
              <w:rPr>
                <w:b/>
                <w:bCs/>
                <w:color w:val="1A1A1A"/>
                <w:sz w:val="20"/>
                <w:szCs w:val="20"/>
              </w:rPr>
              <w:t xml:space="preserve">Module 1: Digital Swagger</w:t>
            </w:r>
            <w:r>
              <w:rPr>
                <w:i/>
                <w:iCs/>
                <w:color w:val="1976D2"/>
                <w:sz w:val="15"/>
                <w:szCs w:val="15"/>
              </w:rPr>
              <w:t xml:space="preserve">	💻 Online</w:t>
            </w:r>
          </w:p>
          <w:p>
            <w:r>
              <w:rPr>
                <w:color w:val="3A3A3A"/>
                <w:sz w:val="18"/>
                <w:szCs w:val="18"/>
              </w:rPr>
              <w:t xml:space="preserve">Vote thumbs up or thumbs down on 6 different profile elements — photos, emails, LinkedIn headlines. Find out what each one says to employers and what to skip.</w:t>
            </w:r>
          </w:p>
        </w:tc>
      </w:tr>
      <w:tr>
        <w:trPr>
          <w:trHeight w:val="30" w:hRule="atLeast"/>
        </w:trPr>
        <w:tc>
          <w:tcPr>
            <w:tcW w:type="dxa" w:w="10080"/>
            <w:tcBorders>
              <w:top w:val="none" w:sz="0"/>
              <w:left w:val="none" w:sz="0"/>
              <w:bottom w:val="none" w:sz="0"/>
              <w:right w:val="none" w:sz="0"/>
            </w:tcBorders>
          </w:tcPr>
          <w:p>
            <w:r>
              <w:rPr>
                <w:sz w:val="4"/>
                <w:szCs w:val="4"/>
              </w:rPr>
              <w:t xml:space="preserve"/>
            </w:r>
          </w:p>
        </w:tc>
      </w:tr>
      <w:tr>
        <w:tc>
          <w:tcPr>
            <w:tcW w:type="dxa" w:w="10080"/>
            <w:tcBorders>
              <w:top w:val="single" w:color="FFFFFF" w:sz="6"/>
              <w:left w:val="single" w:color="1976D2" w:sz="24"/>
              <w:bottom w:val="single" w:color="FFFFFF" w:sz="6"/>
              <w:right w:val="single" w:color="DDDDDD" w:sz="2"/>
            </w:tcBorders>
            <w:shd w:fill="DBEAFE" w:val="clear"/>
            <w:tcMar>
              <w:top w:type="dxa" w:w="70"/>
              <w:left w:type="dxa" w:w="200"/>
              <w:bottom w:type="dxa" w:w="70"/>
              <w:right w:type="dxa" w:w="200"/>
            </w:tcMar>
            <w:vAlign w:val="center"/>
          </w:tcPr>
          <w:p>
            <w:pPr>
              <w:tabs>
                <w:tab w:val="right" w:pos="9600"/>
              </w:tabs>
              <w:spacing w:after="30"/>
            </w:pPr>
            <w:r>
              <w:rPr>
                <w:b/>
                <w:bCs/>
                <w:color w:val="1A1A1A"/>
                <w:sz w:val="20"/>
                <w:szCs w:val="20"/>
              </w:rPr>
              <w:t xml:space="preserve">Module 2: LinkedIn + AI</w:t>
            </w:r>
            <w:r>
              <w:rPr>
                <w:i/>
                <w:iCs/>
                <w:color w:val="1976D2"/>
                <w:sz w:val="15"/>
                <w:szCs w:val="15"/>
              </w:rPr>
              <w:t xml:space="preserve">	💻 Online · Printout · The big one</w:t>
            </w:r>
          </w:p>
          <w:p>
            <w:r>
              <w:rPr>
                <w:color w:val="3A3A3A"/>
                <w:sz w:val="18"/>
                <w:szCs w:val="18"/>
              </w:rPr>
              <w:t xml:space="preserve">Draft your LinkedIn profile, print it, then take that print to ChatGPT to polish the wording. After AI sharpens it, paste the polished version into your real LinkedIn account live with the facilitator. AI helps you sound sharper without losing your voice.</w:t>
            </w:r>
          </w:p>
        </w:tc>
      </w:tr>
      <w:tr>
        <w:trPr>
          <w:trHeight w:val="30" w:hRule="atLeast"/>
        </w:trPr>
        <w:tc>
          <w:tcPr>
            <w:tcW w:type="dxa" w:w="10080"/>
            <w:tcBorders>
              <w:top w:val="none" w:sz="0"/>
              <w:left w:val="none" w:sz="0"/>
              <w:bottom w:val="none" w:sz="0"/>
              <w:right w:val="none" w:sz="0"/>
            </w:tcBorders>
          </w:tcPr>
          <w:p>
            <w:r>
              <w:rPr>
                <w:sz w:val="4"/>
                <w:szCs w:val="4"/>
              </w:rPr>
              <w:t xml:space="preserve"/>
            </w:r>
          </w:p>
        </w:tc>
      </w:tr>
      <w:tr>
        <w:tc>
          <w:tcPr>
            <w:tcW w:type="dxa" w:w="10080"/>
            <w:tcBorders>
              <w:top w:val="single" w:color="FFFFFF" w:sz="6"/>
              <w:left w:val="single" w:color="E67E22" w:sz="24"/>
              <w:bottom w:val="single" w:color="FFFFFF" w:sz="6"/>
              <w:right w:val="single" w:color="DDDDDD" w:sz="2"/>
            </w:tcBorders>
            <w:shd w:fill="FCE4D6" w:val="clear"/>
            <w:tcMar>
              <w:top w:type="dxa" w:w="70"/>
              <w:left w:type="dxa" w:w="200"/>
              <w:bottom w:type="dxa" w:w="70"/>
              <w:right w:type="dxa" w:w="200"/>
            </w:tcMar>
            <w:vAlign w:val="center"/>
          </w:tcPr>
          <w:p>
            <w:pPr>
              <w:tabs>
                <w:tab w:val="right" w:pos="9600"/>
              </w:tabs>
              <w:spacing w:after="30"/>
            </w:pPr>
            <w:r>
              <w:rPr>
                <w:b/>
                <w:bCs/>
                <w:color w:val="1A1A1A"/>
                <w:sz w:val="20"/>
                <w:szCs w:val="20"/>
              </w:rPr>
              <w:t xml:space="preserve">Reflection / Self-Assessment</w:t>
            </w:r>
            <w:r>
              <w:rPr>
                <w:i/>
                <w:iCs/>
                <w:color w:val="E67E22"/>
                <w:sz w:val="15"/>
                <w:szCs w:val="15"/>
              </w:rPr>
              <w:t xml:space="preserve">	🗣 Discussion</w:t>
            </w:r>
          </w:p>
          <w:p>
            <w:r>
              <w:rPr>
                <w:color w:val="3A3A3A"/>
                <w:sz w:val="18"/>
                <w:szCs w:val="18"/>
              </w:rPr>
              <w:t xml:space="preserve">Quick group check-in. Confirm your professional email and LinkedIn profile are live. Share what AI helped you say better than you could on your own.</w:t>
            </w:r>
          </w:p>
        </w:tc>
      </w:tr>
      <w:tr>
        <w:trPr>
          <w:trHeight w:val="30" w:hRule="atLeast"/>
        </w:trPr>
        <w:tc>
          <w:tcPr>
            <w:tcW w:type="dxa" w:w="10080"/>
            <w:tcBorders>
              <w:top w:val="none" w:sz="0"/>
              <w:left w:val="none" w:sz="0"/>
              <w:bottom w:val="none" w:sz="0"/>
              <w:right w:val="none" w:sz="0"/>
            </w:tcBorders>
          </w:tcPr>
          <w:p>
            <w:r>
              <w:rPr>
                <w:sz w:val="4"/>
                <w:szCs w:val="4"/>
              </w:rPr>
              <w:t xml:space="preserve"/>
            </w:r>
          </w:p>
        </w:tc>
      </w:tr>
      <w:tr>
        <w:tc>
          <w:tcPr>
            <w:tcW w:type="dxa" w:w="10080"/>
            <w:tcBorders>
              <w:top w:val="single" w:color="FFFFFF" w:sz="6"/>
              <w:left w:val="single" w:color="27AE60" w:sz="24"/>
              <w:bottom w:val="single" w:color="FFFFFF" w:sz="6"/>
              <w:right w:val="single" w:color="DDDDDD" w:sz="2"/>
            </w:tcBorders>
            <w:shd w:fill="E2EFDA" w:val="clear"/>
            <w:tcMar>
              <w:top w:type="dxa" w:w="70"/>
              <w:left w:type="dxa" w:w="200"/>
              <w:bottom w:type="dxa" w:w="70"/>
              <w:right w:type="dxa" w:w="200"/>
            </w:tcMar>
            <w:vAlign w:val="center"/>
          </w:tcPr>
          <w:p>
            <w:pPr>
              <w:tabs>
                <w:tab w:val="right" w:pos="9600"/>
              </w:tabs>
              <w:spacing w:after="30"/>
            </w:pPr>
            <w:r>
              <w:rPr>
                <w:b/>
                <w:bCs/>
                <w:color w:val="1A1A1A"/>
                <w:sz w:val="20"/>
                <w:szCs w:val="20"/>
              </w:rPr>
              <w:t xml:space="preserve">Networking — Fast Dating Style</w:t>
            </w:r>
            <w:r>
              <w:rPr>
                <w:i/>
                <w:iCs/>
                <w:color w:val="27AE60"/>
                <w:sz w:val="15"/>
                <w:szCs w:val="15"/>
              </w:rPr>
              <w:t xml:space="preserve">	✋ Hands-On</w:t>
            </w:r>
          </w:p>
          <w:p>
            <w:r>
              <w:rPr>
                <w:color w:val="3A3A3A"/>
                <w:sz w:val="18"/>
                <w:szCs w:val="18"/>
              </w:rPr>
              <w:t xml:space="preserve">Speed networking. New partner every 5 minutes, use the 30-question handout. Listen as much as you talk — and find a follow-up to whatever lights them up.</w:t>
            </w:r>
          </w:p>
        </w:tc>
      </w:tr>
      <w:tr>
        <w:trPr>
          <w:trHeight w:val="30" w:hRule="atLeast"/>
        </w:trPr>
        <w:tc>
          <w:tcPr>
            <w:tcW w:type="dxa" w:w="10080"/>
            <w:tcBorders>
              <w:top w:val="none" w:sz="0"/>
              <w:left w:val="none" w:sz="0"/>
              <w:bottom w:val="none" w:sz="0"/>
              <w:right w:val="none" w:sz="0"/>
            </w:tcBorders>
          </w:tcPr>
          <w:p>
            <w:r>
              <w:rPr>
                <w:sz w:val="4"/>
                <w:szCs w:val="4"/>
              </w:rPr>
              <w:t xml:space="preserve"/>
            </w:r>
          </w:p>
        </w:tc>
      </w:tr>
      <w:tr>
        <w:tc>
          <w:tcPr>
            <w:tcW w:type="dxa" w:w="10080"/>
            <w:tcBorders>
              <w:top w:val="single" w:color="FFFFFF" w:sz="6"/>
              <w:left w:val="single" w:color="888888" w:sz="24"/>
              <w:bottom w:val="single" w:color="FFFFFF" w:sz="6"/>
              <w:right w:val="single" w:color="DDDDDD" w:sz="2"/>
            </w:tcBorders>
            <w:shd w:fill="F0F0F0" w:val="clear"/>
            <w:tcMar>
              <w:top w:type="dxa" w:w="70"/>
              <w:left w:type="dxa" w:w="200"/>
              <w:bottom w:type="dxa" w:w="70"/>
              <w:right w:type="dxa" w:w="200"/>
            </w:tcMar>
            <w:vAlign w:val="center"/>
          </w:tcPr>
          <w:p>
            <w:pPr>
              <w:tabs>
                <w:tab w:val="right" w:pos="9600"/>
              </w:tabs>
              <w:spacing w:after="30"/>
            </w:pPr>
            <w:r>
              <w:rPr>
                <w:b/>
                <w:bCs/>
                <w:color w:val="1A1A1A"/>
                <w:sz w:val="20"/>
                <w:szCs w:val="20"/>
              </w:rPr>
              <w:t xml:space="preserve">Networking Lunch</w:t>
            </w:r>
            <w:r>
              <w:rPr>
                <w:i/>
                <w:iCs/>
                <w:color w:val="888888"/>
                <w:sz w:val="15"/>
                <w:szCs w:val="15"/>
              </w:rPr>
              <w:t xml:space="preserve">	🍽 Lunch</w:t>
            </w:r>
          </w:p>
          <w:p>
            <w:r>
              <w:rPr>
                <w:color w:val="3A3A3A"/>
                <w:sz w:val="18"/>
                <w:szCs w:val="18"/>
              </w:rPr>
              <w:t xml:space="preserve">Lunch is on us. Use the Bingo card from Day 1 — find someone who fits each category. Keep building connections in a relaxed setting.</w:t>
            </w:r>
          </w:p>
        </w:tc>
      </w:tr>
      <w:tr>
        <w:trPr>
          <w:trHeight w:val="30" w:hRule="atLeast"/>
        </w:trPr>
        <w:tc>
          <w:tcPr>
            <w:tcW w:type="dxa" w:w="10080"/>
            <w:tcBorders>
              <w:top w:val="none" w:sz="0"/>
              <w:left w:val="none" w:sz="0"/>
              <w:bottom w:val="none" w:sz="0"/>
              <w:right w:val="none" w:sz="0"/>
            </w:tcBorders>
          </w:tcPr>
          <w:p>
            <w:r>
              <w:rPr>
                <w:sz w:val="4"/>
                <w:szCs w:val="4"/>
              </w:rPr>
              <w:t xml:space="preserve"/>
            </w:r>
          </w:p>
        </w:tc>
      </w:tr>
      <w:tr>
        <w:tc>
          <w:tcPr>
            <w:tcW w:type="dxa" w:w="10080"/>
            <w:tcBorders>
              <w:top w:val="single" w:color="FFFFFF" w:sz="6"/>
              <w:left w:val="single" w:color="27AE60" w:sz="24"/>
              <w:bottom w:val="single" w:color="FFFFFF" w:sz="6"/>
              <w:right w:val="single" w:color="DDDDDD" w:sz="2"/>
            </w:tcBorders>
            <w:shd w:fill="E2EFDA" w:val="clear"/>
            <w:tcMar>
              <w:top w:type="dxa" w:w="70"/>
              <w:left w:type="dxa" w:w="200"/>
              <w:bottom w:type="dxa" w:w="70"/>
              <w:right w:type="dxa" w:w="200"/>
            </w:tcMar>
            <w:vAlign w:val="center"/>
          </w:tcPr>
          <w:p>
            <w:pPr>
              <w:tabs>
                <w:tab w:val="right" w:pos="9600"/>
              </w:tabs>
              <w:spacing w:after="30"/>
            </w:pPr>
            <w:r>
              <w:rPr>
                <w:b/>
                <w:bCs/>
                <w:color w:val="1A1A1A"/>
                <w:sz w:val="20"/>
                <w:szCs w:val="20"/>
              </w:rPr>
              <w:t xml:space="preserve">Module 3: Say It Like You Mean It</w:t>
            </w:r>
            <w:r>
              <w:rPr>
                <w:i/>
                <w:iCs/>
                <w:color w:val="27AE60"/>
                <w:sz w:val="15"/>
                <w:szCs w:val="15"/>
              </w:rPr>
              <w:t xml:space="preserve">	✋ Hands-On</w:t>
            </w:r>
          </w:p>
          <w:p>
            <w:r>
              <w:rPr>
                <w:color w:val="3A3A3A"/>
                <w:sz w:val="18"/>
                <w:szCs w:val="18"/>
              </w:rPr>
              <w:t xml:space="preserve">Body language + active listening practice. Mirror your partner's movements (you'll feel weird, that's the point), then take turns just listening — no jumping in, no advice. Notice how much harder it is than it sounds.</w:t>
            </w:r>
          </w:p>
        </w:tc>
      </w:tr>
      <w:tr>
        <w:trPr>
          <w:trHeight w:val="30" w:hRule="atLeast"/>
        </w:trPr>
        <w:tc>
          <w:tcPr>
            <w:tcW w:type="dxa" w:w="10080"/>
            <w:tcBorders>
              <w:top w:val="none" w:sz="0"/>
              <w:left w:val="none" w:sz="0"/>
              <w:bottom w:val="none" w:sz="0"/>
              <w:right w:val="none" w:sz="0"/>
            </w:tcBorders>
          </w:tcPr>
          <w:p>
            <w:r>
              <w:rPr>
                <w:sz w:val="4"/>
                <w:szCs w:val="4"/>
              </w:rPr>
              <w:t xml:space="preserve"/>
            </w:r>
          </w:p>
        </w:tc>
      </w:tr>
      <w:tr>
        <w:tc>
          <w:tcPr>
            <w:tcW w:type="dxa" w:w="10080"/>
            <w:tcBorders>
              <w:top w:val="single" w:color="FFFFFF" w:sz="6"/>
              <w:left w:val="single" w:color="27AE60" w:sz="24"/>
              <w:bottom w:val="single" w:color="FFFFFF" w:sz="6"/>
              <w:right w:val="single" w:color="DDDDDD" w:sz="2"/>
            </w:tcBorders>
            <w:shd w:fill="E2EFDA" w:val="clear"/>
            <w:tcMar>
              <w:top w:type="dxa" w:w="70"/>
              <w:left w:type="dxa" w:w="200"/>
              <w:bottom w:type="dxa" w:w="70"/>
              <w:right w:type="dxa" w:w="200"/>
            </w:tcMar>
            <w:vAlign w:val="center"/>
          </w:tcPr>
          <w:p>
            <w:pPr>
              <w:tabs>
                <w:tab w:val="right" w:pos="9600"/>
              </w:tabs>
              <w:spacing w:after="30"/>
            </w:pPr>
            <w:r>
              <w:rPr>
                <w:b/>
                <w:bCs/>
                <w:color w:val="1A1A1A"/>
                <w:sz w:val="20"/>
                <w:szCs w:val="20"/>
              </w:rPr>
              <w:t xml:space="preserve">Module 4: Clear &amp; Direct</w:t>
            </w:r>
            <w:r>
              <w:rPr>
                <w:i/>
                <w:iCs/>
                <w:color w:val="27AE60"/>
                <w:sz w:val="15"/>
                <w:szCs w:val="15"/>
              </w:rPr>
              <w:t xml:space="preserve">	✋ Hands-On</w:t>
            </w:r>
          </w:p>
          <w:p>
            <w:r>
              <w:rPr>
                <w:color w:val="3A3A3A"/>
                <w:sz w:val="18"/>
                <w:szCs w:val="18"/>
              </w:rPr>
              <w:t xml:space="preserve">Small-group role-play. Your team picks a conflict scenario (confusing supervisor text, coworker interruptions, asking for help with a new tool) and builds a 2-minute skit showing how to resolve it using "I" statements and empathy.</w:t>
            </w:r>
          </w:p>
        </w:tc>
      </w:tr>
      <w:tr>
        <w:trPr>
          <w:trHeight w:val="30" w:hRule="atLeast"/>
        </w:trPr>
        <w:tc>
          <w:tcPr>
            <w:tcW w:type="dxa" w:w="10080"/>
            <w:tcBorders>
              <w:top w:val="none" w:sz="0"/>
              <w:left w:val="none" w:sz="0"/>
              <w:bottom w:val="none" w:sz="0"/>
              <w:right w:val="none" w:sz="0"/>
            </w:tcBorders>
          </w:tcPr>
          <w:p>
            <w:r>
              <w:rPr>
                <w:sz w:val="4"/>
                <w:szCs w:val="4"/>
              </w:rPr>
              <w:t xml:space="preserve"/>
            </w:r>
          </w:p>
        </w:tc>
      </w:tr>
      <w:tr>
        <w:tc>
          <w:tcPr>
            <w:tcW w:type="dxa" w:w="10080"/>
            <w:tcBorders>
              <w:top w:val="single" w:color="FFFFFF" w:sz="6"/>
              <w:left w:val="single" w:color="E67E22" w:sz="24"/>
              <w:bottom w:val="single" w:color="FFFFFF" w:sz="6"/>
              <w:right w:val="single" w:color="DDDDDD" w:sz="2"/>
            </w:tcBorders>
            <w:shd w:fill="FCE4D6" w:val="clear"/>
            <w:tcMar>
              <w:top w:type="dxa" w:w="70"/>
              <w:left w:type="dxa" w:w="200"/>
              <w:bottom w:type="dxa" w:w="70"/>
              <w:right w:type="dxa" w:w="200"/>
            </w:tcMar>
            <w:vAlign w:val="center"/>
          </w:tcPr>
          <w:p>
            <w:pPr>
              <w:tabs>
                <w:tab w:val="right" w:pos="9600"/>
              </w:tabs>
              <w:spacing w:after="30"/>
            </w:pPr>
            <w:r>
              <w:rPr>
                <w:b/>
                <w:bCs/>
                <w:color w:val="1A1A1A"/>
                <w:sz w:val="20"/>
                <w:szCs w:val="20"/>
              </w:rPr>
              <w:t xml:space="preserve">Final Reflection</w:t>
            </w:r>
            <w:r>
              <w:rPr>
                <w:i/>
                <w:iCs/>
                <w:color w:val="E67E22"/>
                <w:sz w:val="15"/>
                <w:szCs w:val="15"/>
              </w:rPr>
              <w:t xml:space="preserve">	🗣 Discussion</w:t>
            </w:r>
          </w:p>
          <w:p>
            <w:r>
              <w:rPr>
                <w:color w:val="3A3A3A"/>
                <w:sz w:val="18"/>
                <w:szCs w:val="18"/>
              </w:rPr>
              <w:t xml:space="preserve">Group circle. What was your aha moment today? What surprised you about how AI helped you sound? What's one thing you're going to do differently?</w:t>
            </w:r>
          </w:p>
        </w:tc>
      </w:tr>
      <w:tr>
        <w:trPr>
          <w:trHeight w:val="30" w:hRule="atLeast"/>
        </w:trPr>
        <w:tc>
          <w:tcPr>
            <w:tcW w:type="dxa" w:w="10080"/>
            <w:tcBorders>
              <w:top w:val="none" w:sz="0"/>
              <w:left w:val="none" w:sz="0"/>
              <w:bottom w:val="none" w:sz="0"/>
              <w:right w:val="none" w:sz="0"/>
            </w:tcBorders>
          </w:tcPr>
          <w:p>
            <w:r>
              <w:rPr>
                <w:sz w:val="4"/>
                <w:szCs w:val="4"/>
              </w:rPr>
              <w:t xml:space="preserve"/>
            </w:r>
          </w:p>
        </w:tc>
      </w:tr>
      <w:tr>
        <w:tc>
          <w:tcPr>
            <w:tcW w:type="dxa" w:w="10080"/>
            <w:tcBorders>
              <w:top w:val="single" w:color="FFFFFF" w:sz="6"/>
              <w:left w:val="single" w:color="27AE60" w:sz="24"/>
              <w:bottom w:val="single" w:color="FFFFFF" w:sz="6"/>
              <w:right w:val="single" w:color="DDDDDD" w:sz="2"/>
            </w:tcBorders>
            <w:shd w:fill="E2EFDA" w:val="clear"/>
            <w:tcMar>
              <w:top w:type="dxa" w:w="70"/>
              <w:left w:type="dxa" w:w="200"/>
              <w:bottom w:type="dxa" w:w="70"/>
              <w:right w:type="dxa" w:w="200"/>
            </w:tcMar>
            <w:vAlign w:val="center"/>
          </w:tcPr>
          <w:p>
            <w:pPr>
              <w:tabs>
                <w:tab w:val="right" w:pos="9600"/>
              </w:tabs>
              <w:spacing w:after="30"/>
            </w:pPr>
            <w:r>
              <w:rPr>
                <w:b/>
                <w:bCs/>
                <w:color w:val="1A1A1A"/>
                <w:sz w:val="20"/>
                <w:szCs w:val="20"/>
              </w:rPr>
              <w:t xml:space="preserve">Digital Skills &amp; Communication Showcase</w:t>
            </w:r>
            <w:r>
              <w:rPr>
                <w:i/>
                <w:iCs/>
                <w:color w:val="27AE60"/>
                <w:sz w:val="15"/>
                <w:szCs w:val="15"/>
              </w:rPr>
              <w:t xml:space="preserve">	✋ Hands-On</w:t>
            </w:r>
          </w:p>
          <w:p>
            <w:r>
              <w:rPr>
                <w:color w:val="3A3A3A"/>
                <w:sz w:val="18"/>
                <w:szCs w:val="18"/>
              </w:rPr>
              <w:t xml:space="preserve">Gallery walk. Show your live LinkedIn profile or speak for 30 seconds on one win you're proud of — email signature, AI-polished headline, a body-language moment. Celebrate what you built today.</w:t>
            </w:r>
          </w:p>
        </w:tc>
      </w:tr>
      <w:tr>
        <w:trPr>
          <w:trHeight w:val="30" w:hRule="atLeast"/>
        </w:trPr>
        <w:tc>
          <w:tcPr>
            <w:tcW w:type="dxa" w:w="10080"/>
            <w:tcBorders>
              <w:top w:val="none" w:sz="0"/>
              <w:left w:val="none" w:sz="0"/>
              <w:bottom w:val="none" w:sz="0"/>
              <w:right w:val="none" w:sz="0"/>
            </w:tcBorders>
          </w:tcPr>
          <w:p>
            <w:r>
              <w:rPr>
                <w:sz w:val="4"/>
                <w:szCs w:val="4"/>
              </w:rPr>
              <w:t xml:space="preserve"/>
            </w:r>
          </w:p>
        </w:tc>
      </w:tr>
      <w:tr>
        <w:tc>
          <w:tcPr>
            <w:tcW w:type="dxa" w:w="10080"/>
            <w:tcBorders>
              <w:top w:val="single" w:color="FFFFFF" w:sz="6"/>
              <w:left w:val="single" w:color="E67E22" w:sz="24"/>
              <w:bottom w:val="single" w:color="FFFFFF" w:sz="6"/>
              <w:right w:val="single" w:color="DDDDDD" w:sz="2"/>
            </w:tcBorders>
            <w:shd w:fill="FCE4D6" w:val="clear"/>
            <w:tcMar>
              <w:top w:type="dxa" w:w="70"/>
              <w:left w:type="dxa" w:w="200"/>
              <w:bottom w:type="dxa" w:w="70"/>
              <w:right w:type="dxa" w:w="200"/>
            </w:tcMar>
            <w:vAlign w:val="center"/>
          </w:tcPr>
          <w:p>
            <w:pPr>
              <w:tabs>
                <w:tab w:val="right" w:pos="9600"/>
              </w:tabs>
              <w:spacing w:after="30"/>
            </w:pPr>
            <w:r>
              <w:rPr>
                <w:b/>
                <w:bCs/>
                <w:color w:val="1A1A1A"/>
                <w:sz w:val="20"/>
                <w:szCs w:val="20"/>
              </w:rPr>
              <w:t xml:space="preserve">Closing &amp; Next Steps</w:t>
            </w:r>
            <w:r>
              <w:rPr>
                <w:i/>
                <w:iCs/>
                <w:color w:val="E67E22"/>
                <w:sz w:val="15"/>
                <w:szCs w:val="15"/>
              </w:rPr>
              <w:t xml:space="preserve">	🗣 Discussion</w:t>
            </w:r>
          </w:p>
          <w:p>
            <w:r>
              <w:rPr>
                <w:color w:val="3A3A3A"/>
                <w:sz w:val="18"/>
                <w:szCs w:val="18"/>
              </w:rPr>
              <w:t xml:space="preserve">One word for how you're leaving today. Quick preview of Day 3 (Career Exploration &amp; Résumé Writing) and we wrap.</w:t>
            </w:r>
          </w:p>
        </w:tc>
      </w:tr>
    </w:tbl>
    <w:sectPr>
      <w:pgSz w:w="12240" w:h="15840" w:orient="portrait"/>
      <w:pgMar w:top="540" w:right="1080" w:bottom="36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2026-06-08T19:02:33.663Z</dcterms:created>
  <dcterms:modified xsi:type="dcterms:W3CDTF">2026-06-08T19:02:33.663Z</dcterms:modified>
</cp:coreProperties>
</file>

<file path=docProps/custom.xml><?xml version="1.0" encoding="utf-8"?>
<Properties xmlns="http://schemas.openxmlformats.org/officeDocument/2006/custom-properties" xmlns:vt="http://schemas.openxmlformats.org/officeDocument/2006/docPropsVTypes"/>
</file>